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8136"/>
        <w:gridCol w:w="1800"/>
      </w:tblGrid>
      <w:tr>
        <w:tc>
          <w:tcPr>
            <w:tcW w:type="dxa" w:w="5119"/>
            <w:tcMar>
              <w:top w:w="0" w:type="dxa"/>
              <w:start w:w="0" w:type="dxa"/>
              <w:bottom w:w="0" w:type="dxa"/>
              <w:end w:w="0" w:type="dxa"/>
            </w:tcMar>
            <w:vAlign w:val="center"/>
          </w:tcPr>
          <w:p>
            <w:pPr>
              <w:pStyle w:val="Title"/>
              <w:spacing w:after="20"/>
            </w:pPr>
            <w:r>
              <w:rPr>
                <w:rFonts w:ascii="Microsoft YaHei" w:hAnsi="Microsoft YaHei" w:eastAsia="Microsoft YaHei"/>
                <w:b/>
                <w:color w:val="111827"/>
                <w:sz w:val="50"/>
              </w:rPr>
              <w:t>洪斌</w:t>
            </w:r>
          </w:p>
          <w:p>
            <w:pPr>
              <w:spacing w:after="100"/>
            </w:pPr>
            <w:r>
              <w:rPr>
                <w:rFonts w:ascii="Microsoft YaHei" w:hAnsi="Microsoft YaHei" w:eastAsia="Microsoft YaHei"/>
                <w:b/>
                <w:color w:val="2457D6"/>
                <w:sz w:val="20"/>
              </w:rPr>
              <w:t>跨境电商 FDE 高管  |  AI Agent 业务落地负责人  |  创始人兼 CEO</w:t>
            </w:r>
          </w:p>
          <w:p>
            <w:pPr>
              <w:spacing w:after="160"/>
            </w:pPr>
            <w:r>
              <w:rPr>
                <w:rFonts w:ascii="Microsoft YaHei" w:hAnsi="Microsoft YaHei" w:eastAsia="Microsoft YaHei"/>
                <w:b w:val="0"/>
                <w:color w:val="4B5563"/>
                <w:sz w:val="17"/>
              </w:rPr>
              <w:t>厦门  |  17268209168  |  kingsley@kingsley-hong.com</w:t>
            </w:r>
          </w:p>
        </w:tc>
        <w:tc>
          <w:tcPr>
            <w:tcW w:type="dxa" w:w="5119"/>
            <w:tcMar>
              <w:top w:w="0" w:type="dxa"/>
              <w:start w:w="0" w:type="dxa"/>
              <w:bottom w:w="0" w:type="dxa"/>
              <w:end w:w="0" w:type="dxa"/>
            </w:tcMar>
            <w:vAlign w:val="center"/>
          </w:tcPr>
          <w:p>
            <w:pPr>
              <w:jc w:val="right"/>
            </w:pPr>
            <w:r>
              <w:drawing>
                <wp:inline xmlns:a="http://schemas.openxmlformats.org/drawingml/2006/main" xmlns:pic="http://schemas.openxmlformats.org/drawingml/2006/picture">
                  <wp:extent cx="841248" cy="1534709"/>
                  <wp:docPr id="1" name="Picture 1"/>
                  <wp:cNvGraphicFramePr>
                    <a:graphicFrameLocks noChangeAspect="1"/>
                  </wp:cNvGraphicFramePr>
                  <a:graphic>
                    <a:graphicData uri="http://schemas.openxmlformats.org/drawingml/2006/picture">
                      <pic:pic>
                        <pic:nvPicPr>
                          <pic:cNvPr id="0" name="BIN HONG 头像.png"/>
                          <pic:cNvPicPr/>
                        </pic:nvPicPr>
                        <pic:blipFill>
                          <a:blip r:embed="rId9"/>
                          <a:stretch>
                            <a:fillRect/>
                          </a:stretch>
                        </pic:blipFill>
                        <pic:spPr>
                          <a:xfrm>
                            <a:off x="0" y="0"/>
                            <a:ext cx="841248" cy="1534709"/>
                          </a:xfrm>
                          <a:prstGeom prst="rect"/>
                        </pic:spPr>
                      </pic:pic>
                    </a:graphicData>
                  </a:graphic>
                </wp:inline>
              </w:drawing>
            </w:r>
          </w:p>
        </w:tc>
      </w:tr>
    </w:tbl>
    <w:p>
      <w:pPr>
        <w:pStyle w:val="Heading1"/>
        <w:keepNext/>
        <w:spacing w:before="140" w:after="80"/>
      </w:pPr>
      <w:r>
        <w:rPr>
          <w:rFonts w:ascii="Microsoft YaHei" w:hAnsi="Microsoft YaHei" w:eastAsia="Microsoft YaHei"/>
          <w:b/>
          <w:color w:val="111827"/>
          <w:sz w:val="23"/>
        </w:rPr>
        <w:t>高管简介</w:t>
      </w:r>
    </w:p>
    <w:p>
      <w:r>
        <w:rPr>
          <w:rFonts w:ascii="Microsoft YaHei" w:hAnsi="Microsoft YaHei" w:eastAsia="Microsoft YaHei"/>
          <w:b w:val="0"/>
          <w:color w:val="111827"/>
          <w:sz w:val="18"/>
        </w:rPr>
        <w:t>跨境电商前沿部署工程（Forward Deployed Engineering，FDE）负责人及复合型业务高管，拥有15年以上英国、中国与东南亚市场经营经验。兼具企业战略、经营损益管理、跨境供应链、进出口资源整合和AI工程落地能力，能够直接进入客户现场完成业务诊断、价值定义、系统构建、评测验收与运营移交。曾从0到1打造英国O2O平台至百万用户和年GMV 1,000万英镑+；现主导九大业务域、60余个智能体与自动化工作流，将跨境电商经验沉淀为可复制、可治理、可持续运行的数字化能力。</w:t>
      </w:r>
    </w:p>
    <w:p>
      <w:r>
        <w:rPr>
          <w:rFonts w:ascii="Microsoft YaHei" w:hAnsi="Microsoft YaHei" w:eastAsia="Microsoft YaHei"/>
          <w:b w:val="0"/>
          <w:color w:val="111827"/>
          <w:sz w:val="18"/>
        </w:rPr>
        <w:t>个人优势：拥有超过15年的企业管理、公共事务、战略规划、产品与市场管理经验，是兼具经营视角与技术落地能力的资深跨境电商FDE。深耕跨境电商、新零售及国际业务，具备独立站、SEO、海外社媒运营以及产品规划、竞争分析、定位、成本控制和营销计划经验；擅长团队管理、跨部门与政企沟通、涉外接待，能将战略、需求、数据和AI Agent转化为可部署、可验证、可规模化的解决方案；熟练使用中英文及ChatGPT、Midjourney、Kimi等办公、图文视频和AI工具。</w:t>
      </w:r>
    </w:p>
    <w:p>
      <w:pPr>
        <w:pStyle w:val="Heading1"/>
        <w:keepNext/>
        <w:spacing w:before="140" w:after="80"/>
      </w:pPr>
      <w:r>
        <w:rPr>
          <w:rFonts w:ascii="Microsoft YaHei" w:hAnsi="Microsoft YaHei" w:eastAsia="Microsoft YaHei"/>
          <w:b/>
          <w:color w:val="111827"/>
          <w:sz w:val="23"/>
        </w:rPr>
        <w:t>核心领导力与业绩</w:t>
      </w:r>
    </w:p>
    <w:tbl>
      <w:tblPr>
        <w:tblW w:type="auto" w:w="0"/>
        <w:tblLayout w:type="fixed"/>
        <w:tblLook w:firstColumn="1" w:firstRow="1" w:lastColumn="0" w:lastRow="0" w:noHBand="0" w:noVBand="1" w:val="04A0"/>
      </w:tblPr>
      <w:tblGrid>
        <w:gridCol w:w="3413"/>
        <w:gridCol w:w="3413"/>
        <w:gridCol w:w="3413"/>
      </w:tblGrid>
      <w:tr>
        <w:tc>
          <w:tcPr>
            <w:tcW w:type="dxa" w:w="3413"/>
            <w:shd w:fill="E8EEF9"/>
            <w:tcMar>
              <w:top w:w="110" w:type="dxa"/>
              <w:start w:w="110" w:type="dxa"/>
              <w:bottom w:w="100" w:type="dxa"/>
              <w:end w:w="110" w:type="dxa"/>
            </w:tcMar>
            <w:vAlign w:val="center"/>
          </w:tcPr>
          <w:p>
            <w:pPr>
              <w:jc w:val="center"/>
            </w:pPr>
            <w:r>
              <w:rPr>
                <w:rFonts w:ascii="Microsoft YaHei" w:hAnsi="Microsoft YaHei" w:eastAsia="Microsoft YaHei"/>
                <w:b/>
                <w:color w:val="2457D6"/>
                <w:sz w:val="26"/>
              </w:rPr>
              <w:t>15年+</w:t>
            </w:r>
          </w:p>
          <w:p>
            <w:pPr>
              <w:jc w:val="center"/>
            </w:pPr>
            <w:r>
              <w:rPr>
                <w:rFonts w:ascii="Microsoft YaHei" w:hAnsi="Microsoft YaHei" w:eastAsia="Microsoft YaHei"/>
                <w:b w:val="0"/>
                <w:color w:val="4B5563"/>
                <w:sz w:val="15"/>
              </w:rPr>
              <w:t>跨境经营与高管经验</w:t>
            </w:r>
          </w:p>
        </w:tc>
        <w:tc>
          <w:tcPr>
            <w:tcW w:type="dxa" w:w="3413"/>
            <w:shd w:fill="E8EEF9"/>
            <w:tcMar>
              <w:top w:w="110" w:type="dxa"/>
              <w:start w:w="110" w:type="dxa"/>
              <w:bottom w:w="100" w:type="dxa"/>
              <w:end w:w="110" w:type="dxa"/>
            </w:tcMar>
            <w:vAlign w:val="center"/>
          </w:tcPr>
          <w:p>
            <w:pPr>
              <w:jc w:val="center"/>
            </w:pPr>
            <w:r>
              <w:rPr>
                <w:rFonts w:ascii="Microsoft YaHei" w:hAnsi="Microsoft YaHei" w:eastAsia="Microsoft YaHei"/>
                <w:b/>
                <w:color w:val="2457D6"/>
                <w:sz w:val="26"/>
              </w:rPr>
              <w:t>3大市场</w:t>
            </w:r>
          </w:p>
          <w:p>
            <w:pPr>
              <w:jc w:val="center"/>
            </w:pPr>
            <w:r>
              <w:rPr>
                <w:rFonts w:ascii="Microsoft YaHei" w:hAnsi="Microsoft YaHei" w:eastAsia="Microsoft YaHei"/>
                <w:b w:val="0"/>
                <w:color w:val="4B5563"/>
                <w:sz w:val="15"/>
              </w:rPr>
              <w:t>英国·中国·东南亚</w:t>
            </w:r>
          </w:p>
        </w:tc>
        <w:tc>
          <w:tcPr>
            <w:tcW w:type="dxa" w:w="3413"/>
            <w:shd w:fill="E8EEF9"/>
            <w:tcMar>
              <w:top w:w="110" w:type="dxa"/>
              <w:start w:w="110" w:type="dxa"/>
              <w:bottom w:w="100" w:type="dxa"/>
              <w:end w:w="110" w:type="dxa"/>
            </w:tcMar>
            <w:vAlign w:val="center"/>
          </w:tcPr>
          <w:p>
            <w:pPr>
              <w:jc w:val="center"/>
            </w:pPr>
            <w:r>
              <w:rPr>
                <w:rFonts w:ascii="Microsoft YaHei" w:hAnsi="Microsoft YaHei" w:eastAsia="Microsoft YaHei"/>
                <w:b/>
                <w:color w:val="2457D6"/>
                <w:sz w:val="26"/>
              </w:rPr>
              <w:t>100万+</w:t>
            </w:r>
          </w:p>
          <w:p>
            <w:pPr>
              <w:jc w:val="center"/>
            </w:pPr>
            <w:r>
              <w:rPr>
                <w:rFonts w:ascii="Microsoft YaHei" w:hAnsi="Microsoft YaHei" w:eastAsia="Microsoft YaHei"/>
                <w:b w:val="0"/>
                <w:color w:val="4B5563"/>
                <w:sz w:val="15"/>
              </w:rPr>
              <w:t>英国平台用户规模</w:t>
            </w:r>
          </w:p>
        </w:tc>
      </w:tr>
      <w:tr>
        <w:tc>
          <w:tcPr>
            <w:tcW w:type="dxa" w:w="3413"/>
            <w:shd w:fill="E8EEF9"/>
            <w:tcMar>
              <w:top w:w="110" w:type="dxa"/>
              <w:start w:w="110" w:type="dxa"/>
              <w:bottom w:w="100" w:type="dxa"/>
              <w:end w:w="110" w:type="dxa"/>
            </w:tcMar>
            <w:vAlign w:val="center"/>
          </w:tcPr>
          <w:p>
            <w:pPr>
              <w:jc w:val="center"/>
            </w:pPr>
            <w:r>
              <w:rPr>
                <w:rFonts w:ascii="Microsoft YaHei" w:hAnsi="Microsoft YaHei" w:eastAsia="Microsoft YaHei"/>
                <w:b/>
                <w:color w:val="2457D6"/>
                <w:sz w:val="26"/>
              </w:rPr>
              <w:t>£1,000万+</w:t>
            </w:r>
          </w:p>
          <w:p>
            <w:pPr>
              <w:jc w:val="center"/>
            </w:pPr>
            <w:r>
              <w:rPr>
                <w:rFonts w:ascii="Microsoft YaHei" w:hAnsi="Microsoft YaHei" w:eastAsia="Microsoft YaHei"/>
                <w:b w:val="0"/>
                <w:color w:val="4B5563"/>
                <w:sz w:val="15"/>
              </w:rPr>
              <w:t>英国平台年度GMV</w:t>
            </w:r>
          </w:p>
        </w:tc>
        <w:tc>
          <w:tcPr>
            <w:tcW w:type="dxa" w:w="3413"/>
            <w:shd w:fill="E8EEF9"/>
            <w:tcMar>
              <w:top w:w="110" w:type="dxa"/>
              <w:start w:w="110" w:type="dxa"/>
              <w:bottom w:w="100" w:type="dxa"/>
              <w:end w:w="110" w:type="dxa"/>
            </w:tcMar>
            <w:vAlign w:val="center"/>
          </w:tcPr>
          <w:p>
            <w:pPr>
              <w:jc w:val="center"/>
            </w:pPr>
            <w:r>
              <w:rPr>
                <w:rFonts w:ascii="Microsoft YaHei" w:hAnsi="Microsoft YaHei" w:eastAsia="Microsoft YaHei"/>
                <w:b/>
                <w:color w:val="2457D6"/>
                <w:sz w:val="26"/>
              </w:rPr>
              <w:t>500+</w:t>
            </w:r>
          </w:p>
          <w:p>
            <w:pPr>
              <w:jc w:val="center"/>
            </w:pPr>
            <w:r>
              <w:rPr>
                <w:rFonts w:ascii="Microsoft YaHei" w:hAnsi="Microsoft YaHei" w:eastAsia="Microsoft YaHei"/>
                <w:b w:val="0"/>
                <w:color w:val="4B5563"/>
                <w:sz w:val="15"/>
              </w:rPr>
              <w:t>英国零售商生态</w:t>
            </w:r>
          </w:p>
        </w:tc>
        <w:tc>
          <w:tcPr>
            <w:tcW w:type="dxa" w:w="3413"/>
            <w:shd w:fill="E8EEF9"/>
            <w:tcMar>
              <w:top w:w="110" w:type="dxa"/>
              <w:start w:w="110" w:type="dxa"/>
              <w:bottom w:w="100" w:type="dxa"/>
              <w:end w:w="110" w:type="dxa"/>
            </w:tcMar>
            <w:vAlign w:val="center"/>
          </w:tcPr>
          <w:p>
            <w:pPr>
              <w:jc w:val="center"/>
            </w:pPr>
            <w:r>
              <w:rPr>
                <w:rFonts w:ascii="Microsoft YaHei" w:hAnsi="Microsoft YaHei" w:eastAsia="Microsoft YaHei"/>
                <w:b/>
                <w:color w:val="2457D6"/>
                <w:sz w:val="26"/>
              </w:rPr>
              <w:t>60+</w:t>
            </w:r>
          </w:p>
          <w:p>
            <w:pPr>
              <w:jc w:val="center"/>
            </w:pPr>
            <w:r>
              <w:rPr>
                <w:rFonts w:ascii="Microsoft YaHei" w:hAnsi="Microsoft YaHei" w:eastAsia="Microsoft YaHei"/>
                <w:b w:val="0"/>
                <w:color w:val="4B5563"/>
                <w:sz w:val="15"/>
              </w:rPr>
              <w:t>智能体与自动化工作流</w:t>
            </w:r>
          </w:p>
        </w:tc>
      </w:tr>
    </w:tbl>
    <w:p>
      <w:pPr>
        <w:pStyle w:val="Heading1"/>
        <w:keepNext/>
        <w:spacing w:before="140" w:after="80"/>
      </w:pPr>
      <w:r>
        <w:rPr>
          <w:rFonts w:ascii="Microsoft YaHei" w:hAnsi="Microsoft YaHei" w:eastAsia="Microsoft YaHei"/>
          <w:b/>
          <w:color w:val="111827"/>
          <w:sz w:val="23"/>
        </w:rPr>
        <w:t>最新创业与 AI Agent 项目经验</w:t>
      </w:r>
    </w:p>
    <w:tbl>
      <w:tblPr>
        <w:tblW w:type="auto" w:w="0"/>
        <w:tblLayout w:type="fixed"/>
        <w:tblLook w:firstColumn="1" w:firstRow="1" w:lastColumn="0" w:lastRow="0" w:noHBand="0" w:noVBand="1" w:val="04A0"/>
      </w:tblPr>
      <w:tblGrid>
        <w:gridCol w:w="7776"/>
        <w:gridCol w:w="2232"/>
      </w:tblGrid>
      <w:tr>
        <w:tc>
          <w:tcPr>
            <w:tcW w:type="dxa" w:w="5119"/>
            <w:tcMar>
              <w:top w:w="20" w:type="dxa"/>
              <w:start w:w="0" w:type="dxa"/>
              <w:bottom w:w="20" w:type="dxa"/>
              <w:end w:w="0" w:type="dxa"/>
            </w:tcMar>
            <w:vAlign w:val="center"/>
          </w:tcPr>
          <w:p>
            <w:r>
              <w:rPr>
                <w:rFonts w:ascii="Microsoft YaHei" w:hAnsi="Microsoft YaHei" w:eastAsia="Microsoft YaHei"/>
                <w:b/>
                <w:color w:val="111827"/>
                <w:sz w:val="20"/>
              </w:rPr>
              <w:t>日出行家（厦门）跨境电商有限公司</w:t>
            </w:r>
            <w:r>
              <w:rPr>
                <w:rFonts w:ascii="Microsoft YaHei" w:hAnsi="Microsoft YaHei" w:eastAsia="Microsoft YaHei"/>
                <w:b/>
                <w:color w:val="2457D6"/>
                <w:sz w:val="18"/>
              </w:rPr>
              <w:t xml:space="preserve">  投资人 创始人兼 CEO</w:t>
            </w:r>
          </w:p>
        </w:tc>
        <w:tc>
          <w:tcPr>
            <w:tcW w:type="dxa" w:w="5119"/>
            <w:tcMar>
              <w:top w:w="20" w:type="dxa"/>
              <w:start w:w="0" w:type="dxa"/>
              <w:bottom w:w="20" w:type="dxa"/>
              <w:end w:w="0" w:type="dxa"/>
            </w:tcMar>
            <w:vAlign w:val="center"/>
          </w:tcPr>
          <w:p>
            <w:pPr>
              <w:jc w:val="right"/>
            </w:pPr>
            <w:r>
              <w:rPr>
                <w:rFonts w:ascii="Microsoft YaHei" w:hAnsi="Microsoft YaHei" w:eastAsia="Microsoft YaHei"/>
                <w:b/>
                <w:color w:val="4B5563"/>
                <w:sz w:val="17"/>
              </w:rPr>
              <w:t>2025.08 - 至今</w:t>
            </w:r>
          </w:p>
        </w:tc>
      </w:tr>
    </w:tbl>
    <w:p>
      <w:pPr>
        <w:pStyle w:val="ListBullet"/>
        <w:spacing w:after="50"/>
        <w:ind w:left="259" w:hanging="187"/>
      </w:pPr>
      <w:r>
        <w:rPr>
          <w:rFonts w:ascii="Microsoft YaHei" w:hAnsi="Microsoft YaHei" w:eastAsia="Microsoft YaHei"/>
          <w:b w:val="0"/>
          <w:color w:val="111827"/>
          <w:sz w:val="17"/>
        </w:rPr>
        <w:t>公司成立于2024年5月20日；自上一任职结束后，于2025年8月起全职主导项目战略、产品化与客户交付。</w:t>
      </w:r>
    </w:p>
    <w:p>
      <w:pPr>
        <w:pStyle w:val="ListBullet"/>
        <w:spacing w:after="50"/>
        <w:ind w:left="259" w:hanging="187"/>
      </w:pPr>
      <w:r>
        <w:rPr>
          <w:rFonts w:ascii="Microsoft YaHei" w:hAnsi="Microsoft YaHei" w:eastAsia="Microsoft YaHei"/>
          <w:b w:val="0"/>
          <w:color w:val="111827"/>
          <w:sz w:val="17"/>
        </w:rPr>
        <w:t>提出并主导 RICHU AI Agent 跨境独立站生态体系，将市场洞察、选品定价、建站转化、内容生产、社媒矩阵、SEO/GEO、投流、履约风控和数据复盘拆解为九大业务域、60余个可复用智能体与自动化工作流。</w:t>
      </w:r>
    </w:p>
    <w:p>
      <w:pPr>
        <w:pStyle w:val="ListBullet"/>
        <w:spacing w:after="50"/>
        <w:ind w:left="259" w:hanging="187"/>
      </w:pPr>
      <w:r>
        <w:rPr>
          <w:rFonts w:ascii="Microsoft YaHei" w:hAnsi="Microsoft YaHei" w:eastAsia="Microsoft YaHei"/>
          <w:b w:val="0"/>
          <w:color w:val="111827"/>
          <w:sz w:val="17"/>
        </w:rPr>
        <w:t>构建 TikTok Shop POD 智能体生态，把趋势洞察、创意生成、图片与视频、Listing、合规检查、投放、订单、按需生产和物流状态组织为可自动交接、可审计、可恢复的端到端工作流。</w:t>
      </w:r>
    </w:p>
    <w:p>
      <w:pPr>
        <w:pStyle w:val="ListBullet"/>
        <w:spacing w:after="50"/>
        <w:ind w:left="259" w:hanging="187"/>
      </w:pPr>
      <w:r>
        <w:rPr>
          <w:rFonts w:ascii="Microsoft YaHei" w:hAnsi="Microsoft YaHei" w:eastAsia="Microsoft YaHei"/>
          <w:b w:val="0"/>
          <w:color w:val="111827"/>
          <w:sz w:val="17"/>
        </w:rPr>
        <w:t>搭建 RICHU-OPS 全项目运营中控，以统一事实源、责任人、审批闸门、追加日志和 Checkpoint 续跑机制协调 AI、n8n、本地 Worker、WooCommerce、Stripe、CRM、邮件及物流链路。</w:t>
      </w:r>
    </w:p>
    <w:p>
      <w:pPr>
        <w:pStyle w:val="ListBullet"/>
        <w:spacing w:after="50"/>
        <w:ind w:left="259" w:hanging="187"/>
      </w:pPr>
      <w:r>
        <w:rPr>
          <w:rFonts w:ascii="Microsoft YaHei" w:hAnsi="Microsoft YaHei" w:eastAsia="Microsoft YaHei"/>
          <w:b w:val="0"/>
          <w:color w:val="111827"/>
          <w:sz w:val="17"/>
        </w:rPr>
        <w:t>以FDE高管、AI Agent智能体工程师和产品负责人的复合角色，完成从业务蓝图、产品架构到local-safe MVP、工程验收和运营移交的全生命周期交付；九智能体覆盖选品、数据、视觉、视频、Listing、社媒、客服、订单与履约。</w:t>
      </w:r>
    </w:p>
    <w:p>
      <w:pPr>
        <w:pStyle w:val="ListBullet"/>
        <w:spacing w:after="50"/>
        <w:ind w:left="259" w:hanging="187"/>
      </w:pPr>
      <w:r>
        <w:rPr>
          <w:rFonts w:ascii="Microsoft YaHei" w:hAnsi="Microsoft YaHei" w:eastAsia="Microsoft YaHei"/>
          <w:b w:val="0"/>
          <w:color w:val="111827"/>
          <w:sz w:val="17"/>
        </w:rPr>
        <w:t>构建跨系统智能运营底座，连接AI、n8n、本地Worker、WooCommerce、支付、CRM、邮件与物流链路，形成“业务目标—智能体执行—人工审批—数据复盘”的端到端闭环。</w:t>
      </w:r>
    </w:p>
    <w:p>
      <w:pPr>
        <w:pStyle w:val="ListBullet"/>
        <w:spacing w:after="50"/>
        <w:ind w:left="259" w:hanging="187"/>
      </w:pPr>
      <w:r>
        <w:rPr>
          <w:rFonts w:ascii="Microsoft YaHei" w:hAnsi="Microsoft YaHei" w:eastAsia="Microsoft YaHei"/>
          <w:b w:val="0"/>
          <w:color w:val="111827"/>
          <w:sz w:val="17"/>
        </w:rPr>
        <w:t>建立企业级可靠性与治理体系，包括事实锁定、版本血缘、SHA-256证据、幂等防重、权限审批、故障注入、断点续跑、自愈和自动维护；以273项回归测试、40项交接契约和3,200余个项目文件解析完成工程验证。</w:t>
      </w:r>
    </w:p>
    <w:p>
      <w:pPr>
        <w:pStyle w:val="ListBullet"/>
        <w:spacing w:after="50"/>
        <w:ind w:left="259" w:hanging="187"/>
      </w:pPr>
      <w:r>
        <w:rPr>
          <w:rFonts w:ascii="Microsoft YaHei" w:hAnsi="Microsoft YaHei" w:eastAsia="Microsoft YaHei"/>
          <w:b w:val="0"/>
          <w:color w:val="111827"/>
          <w:sz w:val="17"/>
        </w:rPr>
        <w:t>面向多家合作跨境电商企业开展场景诊断与FDE式落地，把高频重复工作转化为可复用Agent、SOP和自动化任务，帮助客户降低人力与试错成本、提升内容与交付效率、缩短业务响应周期并支撑增量营收。</w:t>
      </w:r>
    </w:p>
    <w:p>
      <w:pPr>
        <w:pStyle w:val="ListBullet"/>
        <w:spacing w:after="50"/>
        <w:ind w:left="259" w:hanging="187"/>
      </w:pPr>
      <w:r>
        <w:rPr>
          <w:rFonts w:ascii="Microsoft YaHei" w:hAnsi="Microsoft YaHei" w:eastAsia="Microsoft YaHei"/>
          <w:b w:val="0"/>
          <w:color w:val="111827"/>
          <w:sz w:val="17"/>
        </w:rPr>
        <w:t>构建具备24小时自动运转能力的安全自动化底座：计划任务、Worker、健康监测、自愈、Checkpoint与异常阻断协同运行；高风险发布、支付和客户触达继续保留人工审批。</w:t>
      </w:r>
    </w:p>
    <w:p>
      <w:pPr>
        <w:pStyle w:val="ListBullet"/>
        <w:spacing w:after="50"/>
        <w:ind w:left="259" w:hanging="187"/>
      </w:pPr>
      <w:r>
        <w:rPr>
          <w:rFonts w:ascii="Microsoft YaHei" w:hAnsi="Microsoft YaHei" w:eastAsia="Microsoft YaHei"/>
          <w:b w:val="0"/>
          <w:color w:val="111827"/>
          <w:sz w:val="17"/>
        </w:rPr>
        <w:t>把个人经验沉淀为行业知识库、标准化 SOP、案例模板与数据闭环，形成可复制的“企业第二大脑”方法；项目现已上轨道，由专人负责日常运营。</w:t>
      </w:r>
    </w:p>
    <w:p>
      <w:pPr>
        <w:pStyle w:val="ListBullet"/>
        <w:spacing w:after="50"/>
        <w:ind w:left="259" w:hanging="187"/>
      </w:pPr>
      <w:r>
        <w:rPr>
          <w:rFonts w:ascii="Microsoft YaHei" w:hAnsi="Microsoft YaHei" w:eastAsia="Microsoft YaHei"/>
          <w:b w:val="0"/>
          <w:color w:val="111827"/>
          <w:sz w:val="17"/>
        </w:rPr>
        <w:t>辅导贵州大学“跨境黔行队”参加第十六届全国大学生电子商务“创新、创意及创业”挑战赛贵州省选拔赛跨境电商实战赛，获得省级二等奖。</w:t>
      </w:r>
    </w:p>
    <w:p>
      <w:pPr>
        <w:pStyle w:val="ListBullet"/>
        <w:spacing w:after="50"/>
        <w:ind w:left="259" w:hanging="187"/>
      </w:pPr>
      <w:r>
        <w:rPr>
          <w:rFonts w:ascii="Microsoft YaHei" w:hAnsi="Microsoft YaHei" w:eastAsia="Microsoft YaHei"/>
          <w:b w:val="0"/>
          <w:color w:val="111827"/>
          <w:sz w:val="17"/>
        </w:rPr>
        <w:t>连续两年入围厦门“白鹭之星”创新创业大赛复赛；2026年在508个参赛项目中排名第24名，项目的技术路线、商业模式与产业落地能力持续获得赛事认可。</w:t>
      </w:r>
    </w:p>
    <w:p>
      <w:pPr>
        <w:pStyle w:val="ListBullet"/>
        <w:spacing w:after="50"/>
        <w:ind w:left="259" w:hanging="187"/>
      </w:pPr>
      <w:r>
        <w:rPr>
          <w:rFonts w:ascii="Microsoft YaHei" w:hAnsi="Microsoft YaHei" w:eastAsia="Microsoft YaHei"/>
          <w:b w:val="0"/>
          <w:color w:val="111827"/>
          <w:sz w:val="17"/>
        </w:rPr>
        <w:t>参加2026中国（厦门）专精特新企业产融互联对接会暨企业出海交流会，围绕企业出海、跨境渠道、技术赋能与产融协同开展现场对接。</w:t>
      </w:r>
    </w:p>
    <w:p>
      <w:pPr>
        <w:pStyle w:val="Heading1"/>
        <w:keepNext/>
        <w:spacing w:before="140" w:after="80"/>
      </w:pPr>
      <w:r>
        <w:rPr>
          <w:rFonts w:ascii="Microsoft YaHei" w:hAnsi="Microsoft YaHei" w:eastAsia="Microsoft YaHei"/>
          <w:b/>
          <w:color w:val="111827"/>
          <w:sz w:val="23"/>
        </w:rPr>
        <w:t>跨境电商 FDE 交付闭环</w:t>
      </w:r>
    </w:p>
    <w:p>
      <w:pPr>
        <w:pStyle w:val="ListBullet"/>
        <w:spacing w:after="50"/>
        <w:ind w:left="259" w:hanging="187"/>
      </w:pPr>
      <w:r>
        <w:rPr>
          <w:rFonts w:ascii="Microsoft YaHei" w:hAnsi="Microsoft YaHei" w:eastAsia="Microsoft YaHei"/>
          <w:b w:val="0"/>
          <w:color w:val="111827"/>
          <w:sz w:val="16"/>
        </w:rPr>
        <w:t>场景发现与业务抽象：以选品证据不足、跨平台刊登重复、内容与履约割裂、人工审批难追溯等真实痛点为入口，定义 UK 市场、独立站和 TikTok Shop POD 的业务边界、成功指标与风险闸门。</w:t>
      </w:r>
    </w:p>
    <w:p>
      <w:pPr>
        <w:pStyle w:val="ListBullet"/>
        <w:spacing w:after="50"/>
        <w:ind w:left="259" w:hanging="187"/>
      </w:pPr>
      <w:r>
        <w:rPr>
          <w:rFonts w:ascii="Microsoft YaHei" w:hAnsi="Microsoft YaHei" w:eastAsia="Microsoft YaHei"/>
          <w:b w:val="0"/>
          <w:color w:val="111827"/>
          <w:sz w:val="16"/>
        </w:rPr>
        <w:t>方案架构与快速构建：把跨境链路拆为九类专业 Agent、八段结构化 handoff 与统一控制台；编排 AI、n8n、本地 Worker、WooCommerce、Stripe、CRM、内容和物流接口，形成从输入证据到可审核产物的闭环。</w:t>
      </w:r>
    </w:p>
    <w:p>
      <w:pPr>
        <w:pStyle w:val="ListBullet"/>
        <w:spacing w:after="50"/>
        <w:ind w:left="259" w:hanging="187"/>
      </w:pPr>
      <w:r>
        <w:rPr>
          <w:rFonts w:ascii="Microsoft YaHei" w:hAnsi="Microsoft YaHei" w:eastAsia="Microsoft YaHei"/>
          <w:b w:val="0"/>
          <w:color w:val="111827"/>
          <w:sz w:val="16"/>
        </w:rPr>
        <w:t>评测与可靠性交付：通过自动测试、负向故障注入、版本差异、幂等防重、过期状态传播和端到端隔离演练证明系统行为；所有外部写入保持审批门控和 fail-closed。</w:t>
      </w:r>
    </w:p>
    <w:p>
      <w:pPr>
        <w:pStyle w:val="ListBullet"/>
        <w:spacing w:after="50"/>
        <w:ind w:left="259" w:hanging="187"/>
      </w:pPr>
      <w:r>
        <w:rPr>
          <w:rFonts w:ascii="Microsoft YaHei" w:hAnsi="Microsoft YaHei" w:eastAsia="Microsoft YaHei"/>
          <w:b w:val="0"/>
          <w:color w:val="111827"/>
          <w:sz w:val="16"/>
        </w:rPr>
        <w:t>采用与运营移交：把工作流沉淀为可点击工作台、Owner Action Center、知识库、SOP、操作指南、验收报告与15分钟自动维护，使非技术运营人员可接管日常流程。</w:t>
      </w:r>
    </w:p>
    <w:p>
      <w:pPr>
        <w:pStyle w:val="ListBullet"/>
        <w:spacing w:after="50"/>
        <w:ind w:left="259" w:hanging="187"/>
      </w:pPr>
      <w:r>
        <w:rPr>
          <w:rFonts w:ascii="Microsoft YaHei" w:hAnsi="Microsoft YaHei" w:eastAsia="Microsoft YaHei"/>
          <w:b w:val="0"/>
          <w:color w:val="111827"/>
          <w:sz w:val="16"/>
        </w:rPr>
        <w:t>反馈驱动迭代：以商品事实、交接状态、测试结果和运营阻塞为数据资产，持续修正 Agent 技能、流程规则、用户界面和产品路线。</w:t>
      </w:r>
    </w:p>
    <w:p>
      <w:pPr>
        <w:pStyle w:val="Heading1"/>
        <w:keepNext/>
        <w:spacing w:before="140" w:after="80"/>
      </w:pPr>
      <w:r>
        <w:rPr>
          <w:rFonts w:ascii="Microsoft YaHei" w:hAnsi="Microsoft YaHei" w:eastAsia="Microsoft YaHei"/>
          <w:b/>
          <w:color w:val="111827"/>
          <w:sz w:val="23"/>
        </w:rPr>
        <w:t>求职方向</w:t>
      </w:r>
    </w:p>
    <w:p>
      <w:pPr>
        <w:pStyle w:val="ListBullet"/>
        <w:spacing w:after="50"/>
        <w:ind w:left="259" w:hanging="187"/>
      </w:pPr>
      <w:r>
        <w:rPr>
          <w:rFonts w:ascii="Microsoft YaHei" w:hAnsi="Microsoft YaHei" w:eastAsia="Microsoft YaHei"/>
          <w:b w:val="0"/>
          <w:color w:val="111827"/>
          <w:sz w:val="17"/>
        </w:rPr>
        <w:t>跨境电商 FDE 高管 / FDE Lead / 前沿部署负责人；Head of Forward Deployed Engineering；AI Agent 智能体工程师；Agentic AI 解决方案与交付负责人；AI 业务落地总监；跨境电商 CEO / 总裁 / VP；进出口与供应链负责人。</w:t>
      </w:r>
    </w:p>
    <w:p>
      <w:pPr>
        <w:pStyle w:val="Heading1"/>
        <w:keepNext/>
        <w:spacing w:before="140" w:after="80"/>
      </w:pPr>
      <w:r>
        <w:rPr>
          <w:rFonts w:ascii="Microsoft YaHei" w:hAnsi="Microsoft YaHei" w:eastAsia="Microsoft YaHei"/>
          <w:b/>
          <w:color w:val="111827"/>
          <w:sz w:val="23"/>
        </w:rPr>
        <w:t>高管经历</w:t>
      </w:r>
    </w:p>
    <w:tbl>
      <w:tblPr>
        <w:tblW w:type="auto" w:w="0"/>
        <w:tblLayout w:type="fixed"/>
        <w:tblLook w:firstColumn="1" w:firstRow="1" w:lastColumn="0" w:lastRow="0" w:noHBand="0" w:noVBand="1" w:val="04A0"/>
      </w:tblPr>
      <w:tblGrid>
        <w:gridCol w:w="7776"/>
        <w:gridCol w:w="2232"/>
      </w:tblGrid>
      <w:tr>
        <w:tc>
          <w:tcPr>
            <w:tcW w:type="dxa" w:w="5119"/>
            <w:tcMar>
              <w:top w:w="20" w:type="dxa"/>
              <w:start w:w="0" w:type="dxa"/>
              <w:bottom w:w="20" w:type="dxa"/>
              <w:end w:w="0" w:type="dxa"/>
            </w:tcMar>
            <w:vAlign w:val="center"/>
          </w:tcPr>
          <w:p>
            <w:r>
              <w:rPr>
                <w:rFonts w:ascii="Microsoft YaHei" w:hAnsi="Microsoft YaHei" w:eastAsia="Microsoft YaHei"/>
                <w:b/>
                <w:color w:val="111827"/>
                <w:sz w:val="20"/>
              </w:rPr>
              <w:t>厦门纽客云科技服务有限公司</w:t>
            </w:r>
            <w:r>
              <w:rPr>
                <w:rFonts w:ascii="Microsoft YaHei" w:hAnsi="Microsoft YaHei" w:eastAsia="Microsoft YaHei"/>
                <w:b/>
                <w:color w:val="2457D6"/>
                <w:sz w:val="18"/>
              </w:rPr>
              <w:t xml:space="preserve">  副总裁 跨境电商综合服务</w:t>
            </w:r>
          </w:p>
        </w:tc>
        <w:tc>
          <w:tcPr>
            <w:tcW w:type="dxa" w:w="5119"/>
            <w:tcMar>
              <w:top w:w="20" w:type="dxa"/>
              <w:start w:w="0" w:type="dxa"/>
              <w:bottom w:w="20" w:type="dxa"/>
              <w:end w:w="0" w:type="dxa"/>
            </w:tcMar>
            <w:vAlign w:val="center"/>
          </w:tcPr>
          <w:p>
            <w:pPr>
              <w:jc w:val="right"/>
            </w:pPr>
            <w:r>
              <w:rPr>
                <w:rFonts w:ascii="Microsoft YaHei" w:hAnsi="Microsoft YaHei" w:eastAsia="Microsoft YaHei"/>
                <w:b/>
                <w:color w:val="4B5563"/>
                <w:sz w:val="17"/>
              </w:rPr>
              <w:t>2020.10 - 2025.07</w:t>
            </w:r>
          </w:p>
        </w:tc>
      </w:tr>
    </w:tbl>
    <w:p>
      <w:pPr>
        <w:pStyle w:val="ListBullet"/>
        <w:spacing w:after="50"/>
        <w:ind w:left="259" w:hanging="187"/>
      </w:pPr>
      <w:r>
        <w:rPr>
          <w:rFonts w:ascii="Microsoft YaHei" w:hAnsi="Microsoft YaHei" w:eastAsia="Microsoft YaHei"/>
          <w:b w:val="0"/>
          <w:color w:val="111827"/>
          <w:sz w:val="17"/>
        </w:rPr>
        <w:t>制定公司战略、年度经营目标与绩效体系；通过组织和流程优化，使信息与资源协同效率提升约1倍、运营成本降低30%，公司整体业绩两年提升300%，年 GMV 达3000万元。</w:t>
      </w:r>
    </w:p>
    <w:p>
      <w:pPr>
        <w:pStyle w:val="ListBullet"/>
        <w:spacing w:after="50"/>
        <w:ind w:left="259" w:hanging="187"/>
      </w:pPr>
      <w:r>
        <w:rPr>
          <w:rFonts w:ascii="Microsoft YaHei" w:hAnsi="Microsoft YaHei" w:eastAsia="Microsoft YaHei"/>
          <w:b w:val="0"/>
          <w:color w:val="111827"/>
          <w:sz w:val="17"/>
        </w:rPr>
        <w:t>统筹品牌、公关与生态合作，主持30余场政企、校企、外商交流、论坛及选品活动；与20余所高校建立人才孵化合作并组织全国高校创业大赛和“双师型”产教融合项目。</w:t>
      </w:r>
    </w:p>
    <w:p>
      <w:pPr>
        <w:pStyle w:val="ListBullet"/>
        <w:spacing w:after="50"/>
        <w:ind w:left="259" w:hanging="187"/>
      </w:pPr>
      <w:r>
        <w:rPr>
          <w:rFonts w:ascii="Microsoft YaHei" w:hAnsi="Microsoft YaHei" w:eastAsia="Microsoft YaHei"/>
          <w:b w:val="0"/>
          <w:color w:val="111827"/>
          <w:sz w:val="17"/>
        </w:rPr>
        <w:t>接待并参与中国贸促会商业行业委员会、宜春市政府、建瓯市有关部门、威海市商务局及菲律宾政商代表团等调研交流，推动跨境供应链、海外仓、品牌出海、人才与产业合作。</w:t>
      </w:r>
    </w:p>
    <w:p>
      <w:pPr>
        <w:pStyle w:val="ListBullet"/>
        <w:spacing w:after="50"/>
        <w:ind w:left="259" w:hanging="187"/>
      </w:pPr>
      <w:r>
        <w:rPr>
          <w:rFonts w:ascii="Microsoft YaHei" w:hAnsi="Microsoft YaHei" w:eastAsia="Microsoft YaHei"/>
          <w:b w:val="0"/>
          <w:color w:val="111827"/>
          <w:sz w:val="17"/>
        </w:rPr>
        <w:t>整合行业媒体、跨境服务平台、展会、商协会及园区渠道，为选品、品牌传播、平台招商、企业出海和生态合作建立持续资源网络。</w:t>
      </w:r>
    </w:p>
    <w:p>
      <w:pPr>
        <w:pStyle w:val="ListBullet"/>
        <w:spacing w:after="50"/>
        <w:ind w:left="259" w:hanging="187"/>
      </w:pPr>
      <w:r>
        <w:rPr>
          <w:rFonts w:ascii="Microsoft YaHei" w:hAnsi="Microsoft YaHei" w:eastAsia="Microsoft YaHei"/>
          <w:b w:val="0"/>
          <w:color w:val="111827"/>
          <w:sz w:val="17"/>
        </w:rPr>
        <w:t>推动供应链、ERP、库存与订单流程标准化：供应链效率提升20%，库存周转率提升25%，订单处理速度提升30%；物流成本降低12%，交付时间缩短20%。</w:t>
      </w:r>
    </w:p>
    <w:p>
      <w:pPr>
        <w:pStyle w:val="ListBullet"/>
        <w:spacing w:after="50"/>
        <w:ind w:left="259" w:hanging="187"/>
      </w:pPr>
      <w:r>
        <w:rPr>
          <w:rFonts w:ascii="Microsoft YaHei" w:hAnsi="Microsoft YaHei" w:eastAsia="Microsoft YaHei"/>
          <w:b w:val="0"/>
          <w:color w:val="111827"/>
          <w:sz w:val="17"/>
        </w:rPr>
        <w:t>主导 Payoneer、PingPong、LianLian、PayerMax、WorldFirst 及 DragonPay、GCash、Stripe、2C2P 等支付生态合作，协同技术团队完成 API 对接。</w:t>
      </w:r>
    </w:p>
    <w:p>
      <w:pPr>
        <w:pStyle w:val="ListBullet"/>
        <w:spacing w:after="50"/>
        <w:ind w:left="259" w:hanging="187"/>
      </w:pPr>
      <w:r>
        <w:rPr>
          <w:rFonts w:ascii="Microsoft YaHei" w:hAnsi="Microsoft YaHei" w:eastAsia="Microsoft YaHei"/>
          <w:b w:val="0"/>
          <w:color w:val="111827"/>
          <w:sz w:val="17"/>
        </w:rPr>
        <w:t>参与全国跨境电商综合试验区解决方案与产业园规划；所在企业获2022优秀服务商，并入选2021 中国跨境电商出海服务商 TOP30。</w:t>
      </w:r>
    </w:p>
    <w:tbl>
      <w:tblPr>
        <w:tblW w:type="auto" w:w="0"/>
        <w:tblLayout w:type="fixed"/>
        <w:tblLook w:firstColumn="1" w:firstRow="1" w:lastColumn="0" w:lastRow="0" w:noHBand="0" w:noVBand="1" w:val="04A0"/>
      </w:tblPr>
      <w:tblGrid>
        <w:gridCol w:w="7776"/>
        <w:gridCol w:w="2232"/>
      </w:tblGrid>
      <w:tr>
        <w:tc>
          <w:tcPr>
            <w:tcW w:type="dxa" w:w="5119"/>
            <w:tcMar>
              <w:top w:w="20" w:type="dxa"/>
              <w:start w:w="0" w:type="dxa"/>
              <w:bottom w:w="20" w:type="dxa"/>
              <w:end w:w="0" w:type="dxa"/>
            </w:tcMar>
            <w:vAlign w:val="center"/>
          </w:tcPr>
          <w:p>
            <w:r>
              <w:rPr>
                <w:rFonts w:ascii="Microsoft YaHei" w:hAnsi="Microsoft YaHei" w:eastAsia="Microsoft YaHei"/>
                <w:b/>
                <w:color w:val="111827"/>
                <w:sz w:val="20"/>
              </w:rPr>
              <w:t>SouthEast Country Bank 菲律宾</w:t>
            </w:r>
            <w:r>
              <w:rPr>
                <w:rFonts w:ascii="Microsoft YaHei" w:hAnsi="Microsoft YaHei" w:eastAsia="Microsoft YaHei"/>
                <w:b/>
                <w:color w:val="2457D6"/>
                <w:sz w:val="18"/>
              </w:rPr>
              <w:t xml:space="preserve">  总裁｜跨境收购与整合负责人（专项任职）</w:t>
            </w:r>
          </w:p>
        </w:tc>
        <w:tc>
          <w:tcPr>
            <w:tcW w:type="dxa" w:w="5119"/>
            <w:tcMar>
              <w:top w:w="20" w:type="dxa"/>
              <w:start w:w="0" w:type="dxa"/>
              <w:bottom w:w="20" w:type="dxa"/>
              <w:end w:w="0" w:type="dxa"/>
            </w:tcMar>
            <w:vAlign w:val="center"/>
          </w:tcPr>
          <w:p>
            <w:pPr>
              <w:jc w:val="right"/>
            </w:pPr>
            <w:r>
              <w:rPr>
                <w:rFonts w:ascii="Microsoft YaHei" w:hAnsi="Microsoft YaHei" w:eastAsia="Microsoft YaHei"/>
                <w:b/>
                <w:color w:val="4B5563"/>
                <w:sz w:val="17"/>
              </w:rPr>
              <w:t>2023.02 - 2023.06</w:t>
            </w:r>
          </w:p>
        </w:tc>
      </w:tr>
    </w:tbl>
    <w:p>
      <w:pPr>
        <w:pStyle w:val="ListBullet"/>
        <w:spacing w:after="50"/>
        <w:ind w:left="259" w:hanging="187"/>
      </w:pPr>
      <w:r>
        <w:rPr>
          <w:rFonts w:ascii="Microsoft YaHei" w:hAnsi="Microsoft YaHei" w:eastAsia="Microsoft YaHei"/>
          <w:b w:val="0"/>
          <w:color w:val="111827"/>
          <w:sz w:val="17"/>
        </w:rPr>
        <w:t>组织跨境收购全流程，协调中菲团队与外部资源，在2个月内完成整体收购推进。</w:t>
      </w:r>
    </w:p>
    <w:p>
      <w:pPr>
        <w:pStyle w:val="ListBullet"/>
        <w:spacing w:after="50"/>
        <w:ind w:left="259" w:hanging="187"/>
      </w:pPr>
      <w:r>
        <w:rPr>
          <w:rFonts w:ascii="Microsoft YaHei" w:hAnsi="Microsoft YaHei" w:eastAsia="Microsoft YaHei"/>
          <w:b w:val="0"/>
          <w:color w:val="111827"/>
          <w:sz w:val="17"/>
        </w:rPr>
        <w:t>推动马尼拉分行及技术服务中心的监管申请、政府合规、选址装修、组织搭建与业务启动；按菲律宾央行 BSP 要求主持董事会。</w:t>
      </w:r>
    </w:p>
    <w:p>
      <w:pPr>
        <w:pStyle w:val="ListBullet"/>
        <w:spacing w:after="50"/>
        <w:ind w:left="259" w:hanging="187"/>
      </w:pPr>
      <w:r>
        <w:rPr>
          <w:rFonts w:ascii="Microsoft YaHei" w:hAnsi="Microsoft YaHei" w:eastAsia="Microsoft YaHei"/>
          <w:b w:val="0"/>
          <w:color w:val="111827"/>
          <w:sz w:val="17"/>
        </w:rPr>
        <w:t>重组管理架构与董事会，联动英国、澳大利亚及东南亚金融和技术资源，启动线上银行系统项目。</w:t>
      </w:r>
    </w:p>
    <w:tbl>
      <w:tblPr>
        <w:tblW w:type="auto" w:w="0"/>
        <w:tblLayout w:type="fixed"/>
        <w:tblLook w:firstColumn="1" w:firstRow="1" w:lastColumn="0" w:lastRow="0" w:noHBand="0" w:noVBand="1" w:val="04A0"/>
      </w:tblPr>
      <w:tblGrid>
        <w:gridCol w:w="7776"/>
        <w:gridCol w:w="2232"/>
      </w:tblGrid>
      <w:tr>
        <w:tc>
          <w:tcPr>
            <w:tcW w:type="dxa" w:w="5119"/>
            <w:tcMar>
              <w:top w:w="20" w:type="dxa"/>
              <w:start w:w="0" w:type="dxa"/>
              <w:bottom w:w="20" w:type="dxa"/>
              <w:end w:w="0" w:type="dxa"/>
            </w:tcMar>
            <w:vAlign w:val="center"/>
          </w:tcPr>
          <w:p>
            <w:r>
              <w:rPr>
                <w:rFonts w:ascii="Microsoft YaHei" w:hAnsi="Microsoft YaHei" w:eastAsia="Microsoft YaHei"/>
                <w:b/>
                <w:color w:val="111827"/>
                <w:sz w:val="20"/>
              </w:rPr>
              <w:t>Sunrise Daily Experts Technology Co., Ltd. 英国</w:t>
            </w:r>
            <w:r>
              <w:rPr>
                <w:rFonts w:ascii="Microsoft YaHei" w:hAnsi="Microsoft YaHei" w:eastAsia="Microsoft YaHei"/>
                <w:b/>
                <w:color w:val="2457D6"/>
                <w:sz w:val="18"/>
              </w:rPr>
              <w:t xml:space="preserve">  CEO 互联网 O2O 新零售</w:t>
            </w:r>
          </w:p>
        </w:tc>
        <w:tc>
          <w:tcPr>
            <w:tcW w:type="dxa" w:w="5119"/>
            <w:tcMar>
              <w:top w:w="20" w:type="dxa"/>
              <w:start w:w="0" w:type="dxa"/>
              <w:bottom w:w="20" w:type="dxa"/>
              <w:end w:w="0" w:type="dxa"/>
            </w:tcMar>
            <w:vAlign w:val="center"/>
          </w:tcPr>
          <w:p>
            <w:pPr>
              <w:jc w:val="right"/>
            </w:pPr>
            <w:r>
              <w:rPr>
                <w:rFonts w:ascii="Microsoft YaHei" w:hAnsi="Microsoft YaHei" w:eastAsia="Microsoft YaHei"/>
                <w:b/>
                <w:color w:val="4B5563"/>
                <w:sz w:val="17"/>
              </w:rPr>
              <w:t>2013.03 - 2020.03</w:t>
            </w:r>
          </w:p>
        </w:tc>
      </w:tr>
    </w:tbl>
    <w:p>
      <w:pPr>
        <w:pStyle w:val="ListBullet"/>
        <w:spacing w:after="50"/>
        <w:ind w:left="259" w:hanging="187"/>
      </w:pPr>
      <w:r>
        <w:rPr>
          <w:rFonts w:ascii="Microsoft YaHei" w:hAnsi="Microsoft YaHei" w:eastAsia="Microsoft YaHei"/>
          <w:b w:val="0"/>
          <w:color w:val="111827"/>
          <w:sz w:val="17"/>
        </w:rPr>
        <w:t>从0到1创建并经营英国 O2O 新零售平台，用户规模增长至100万，2019年 GMV 超过1,000万英镑。</w:t>
      </w:r>
    </w:p>
    <w:p>
      <w:pPr>
        <w:pStyle w:val="ListBullet"/>
        <w:spacing w:after="50"/>
        <w:ind w:left="259" w:hanging="187"/>
      </w:pPr>
      <w:r>
        <w:rPr>
          <w:rFonts w:ascii="Microsoft YaHei" w:hAnsi="Microsoft YaHei" w:eastAsia="Microsoft YaHei"/>
          <w:b w:val="0"/>
          <w:color w:val="111827"/>
          <w:sz w:val="17"/>
        </w:rPr>
        <w:t>拓展500余家英国中小零售商，与30家进口贸易商、5家核心物流商及多家英国银行和支付平台建立合作，形成全渠道服务网络。</w:t>
      </w:r>
    </w:p>
    <w:p>
      <w:pPr>
        <w:pStyle w:val="ListBullet"/>
        <w:spacing w:after="50"/>
        <w:ind w:left="259" w:hanging="187"/>
      </w:pPr>
      <w:r>
        <w:rPr>
          <w:rFonts w:ascii="Microsoft YaHei" w:hAnsi="Microsoft YaHei" w:eastAsia="Microsoft YaHei"/>
          <w:b w:val="0"/>
          <w:color w:val="111827"/>
          <w:sz w:val="17"/>
        </w:rPr>
        <w:t>2016年完成对 SUNRISE CHINESE MARKET LTD 与 E+ MEDIA CO., LTD 的收购，整合线下零售、供应链与本地媒体资源。</w:t>
      </w:r>
    </w:p>
    <w:p>
      <w:pPr>
        <w:pStyle w:val="ListBullet"/>
        <w:spacing w:after="50"/>
        <w:ind w:left="259" w:hanging="187"/>
      </w:pPr>
      <w:r>
        <w:rPr>
          <w:rFonts w:ascii="Microsoft YaHei" w:hAnsi="Microsoft YaHei" w:eastAsia="Microsoft YaHei"/>
          <w:b w:val="0"/>
          <w:color w:val="111827"/>
          <w:sz w:val="17"/>
        </w:rPr>
        <w:t>带领技术团队持续升级客户分析、实时库存与安全支付系统；运营效率提升30%，客服响应时间缩短50%，客户留存率提升25%。</w:t>
      </w:r>
    </w:p>
    <w:p>
      <w:pPr>
        <w:pStyle w:val="Heading1"/>
        <w:keepNext/>
        <w:spacing w:before="140" w:after="80"/>
        <w:pageBreakBefore/>
      </w:pPr>
      <w:r>
        <w:rPr>
          <w:rFonts w:ascii="Microsoft YaHei" w:hAnsi="Microsoft YaHei" w:eastAsia="Microsoft YaHei"/>
          <w:b/>
          <w:color w:val="111827"/>
          <w:sz w:val="23"/>
        </w:rPr>
        <w:t>专业能力</w:t>
      </w:r>
    </w:p>
    <w:p>
      <w:pPr>
        <w:pStyle w:val="ListBullet"/>
        <w:spacing w:after="50"/>
        <w:ind w:left="259" w:hanging="187"/>
      </w:pPr>
      <w:r>
        <w:rPr>
          <w:rFonts w:ascii="Microsoft YaHei" w:hAnsi="Microsoft YaHei" w:eastAsia="Microsoft YaHei"/>
          <w:b w:val="0"/>
          <w:color w:val="111827"/>
          <w:sz w:val="17"/>
        </w:rPr>
        <w:t>公司治理与经营：战略规划、商业模式、经营损益管理（Profit and Loss，P&amp;L）、组织设计、绩效管理、并购整合、公共事务、风险与合规。</w:t>
      </w:r>
    </w:p>
    <w:p>
      <w:pPr>
        <w:pStyle w:val="ListBullet"/>
        <w:spacing w:after="50"/>
        <w:ind w:left="259" w:hanging="187"/>
      </w:pPr>
      <w:r>
        <w:rPr>
          <w:rFonts w:ascii="Microsoft YaHei" w:hAnsi="Microsoft YaHei" w:eastAsia="Microsoft YaHei"/>
          <w:b w:val="0"/>
          <w:color w:val="111827"/>
          <w:sz w:val="17"/>
        </w:rPr>
        <w:t>跨境电商与进出口：英国及东南亚市场、独立站、TikTok Shop、POD、供应链、国际物流、支付、ERP、订单履约。</w:t>
      </w:r>
    </w:p>
    <w:p>
      <w:pPr>
        <w:pStyle w:val="ListBullet"/>
        <w:spacing w:after="50"/>
        <w:ind w:left="259" w:hanging="187"/>
      </w:pPr>
      <w:r>
        <w:rPr>
          <w:rFonts w:ascii="Microsoft YaHei" w:hAnsi="Microsoft YaHei" w:eastAsia="Microsoft YaHei"/>
          <w:b w:val="0"/>
          <w:color w:val="111827"/>
          <w:sz w:val="17"/>
        </w:rPr>
        <w:t>增长与品牌：市场进入、品牌定位、SEO/SEM/GEO、社媒矩阵、内容营销、广告投放、私域与客户生命周期。</w:t>
      </w:r>
    </w:p>
    <w:p>
      <w:pPr>
        <w:pStyle w:val="ListBullet"/>
        <w:spacing w:after="50"/>
        <w:ind w:left="259" w:hanging="187"/>
      </w:pPr>
      <w:r>
        <w:rPr>
          <w:rFonts w:ascii="Microsoft YaHei" w:hAnsi="Microsoft YaHei" w:eastAsia="Microsoft YaHei"/>
          <w:b w:val="0"/>
          <w:color w:val="111827"/>
          <w:sz w:val="17"/>
        </w:rPr>
        <w:t>AI Agent 工程：多智能体编排、任务状态机、结构化交接契约、事实锁定、幂等与审计、Checkpoint 恢复、自愈调度、n8n、本地 Worker、知识库与数据闭环。</w:t>
      </w:r>
    </w:p>
    <w:p>
      <w:pPr>
        <w:pStyle w:val="Heading1"/>
        <w:keepNext/>
        <w:spacing w:before="140" w:after="80"/>
      </w:pPr>
      <w:r>
        <w:rPr>
          <w:rFonts w:ascii="Microsoft YaHei" w:hAnsi="Microsoft YaHei" w:eastAsia="Microsoft YaHei"/>
          <w:b/>
          <w:color w:val="111827"/>
          <w:sz w:val="23"/>
        </w:rPr>
        <w:t>教育背景</w:t>
      </w:r>
    </w:p>
    <w:tbl>
      <w:tblPr>
        <w:tblW w:type="auto" w:w="0"/>
        <w:tblLayout w:type="fixed"/>
        <w:tblLook w:firstColumn="1" w:firstRow="1" w:lastColumn="0" w:lastRow="0" w:noHBand="0" w:noVBand="1" w:val="04A0"/>
      </w:tblPr>
      <w:tblGrid>
        <w:gridCol w:w="7776"/>
        <w:gridCol w:w="2232"/>
      </w:tblGrid>
      <w:tr>
        <w:tc>
          <w:tcPr>
            <w:tcW w:type="dxa" w:w="5119"/>
            <w:tcMar>
              <w:top w:w="20" w:type="dxa"/>
              <w:start w:w="0" w:type="dxa"/>
              <w:bottom w:w="20" w:type="dxa"/>
              <w:end w:w="0" w:type="dxa"/>
            </w:tcMar>
            <w:vAlign w:val="center"/>
          </w:tcPr>
          <w:p>
            <w:r>
              <w:rPr>
                <w:rFonts w:ascii="Microsoft YaHei" w:hAnsi="Microsoft YaHei" w:eastAsia="Microsoft YaHei"/>
                <w:b/>
                <w:color w:val="111827"/>
                <w:sz w:val="20"/>
              </w:rPr>
              <w:t>英国东英吉利大学 University of East Anglia</w:t>
            </w:r>
            <w:r>
              <w:rPr>
                <w:rFonts w:ascii="Microsoft YaHei" w:hAnsi="Microsoft YaHei" w:eastAsia="Microsoft YaHei"/>
                <w:b/>
                <w:color w:val="2457D6"/>
                <w:sz w:val="18"/>
              </w:rPr>
              <w:t xml:space="preserve">  国际商务金融与经济 文学硕士</w:t>
            </w:r>
          </w:p>
        </w:tc>
        <w:tc>
          <w:tcPr>
            <w:tcW w:type="dxa" w:w="5119"/>
            <w:tcMar>
              <w:top w:w="20" w:type="dxa"/>
              <w:start w:w="0" w:type="dxa"/>
              <w:bottom w:w="20" w:type="dxa"/>
              <w:end w:w="0" w:type="dxa"/>
            </w:tcMar>
            <w:vAlign w:val="center"/>
          </w:tcPr>
          <w:p>
            <w:pPr>
              <w:jc w:val="right"/>
            </w:pPr>
            <w:r>
              <w:rPr>
                <w:rFonts w:ascii="Microsoft YaHei" w:hAnsi="Microsoft YaHei" w:eastAsia="Microsoft YaHei"/>
                <w:b/>
                <w:color w:val="4B5563"/>
                <w:sz w:val="17"/>
              </w:rPr>
              <w:t>2007.09 - 2009.07</w:t>
            </w:r>
          </w:p>
        </w:tc>
      </w:tr>
    </w:tbl>
    <w:tbl>
      <w:tblPr>
        <w:tblW w:type="auto" w:w="0"/>
        <w:tblLayout w:type="fixed"/>
        <w:tblLook w:firstColumn="1" w:firstRow="1" w:lastColumn="0" w:lastRow="0" w:noHBand="0" w:noVBand="1" w:val="04A0"/>
      </w:tblPr>
      <w:tblGrid>
        <w:gridCol w:w="7776"/>
        <w:gridCol w:w="2232"/>
      </w:tblGrid>
      <w:tr>
        <w:tc>
          <w:tcPr>
            <w:tcW w:type="dxa" w:w="5119"/>
            <w:tcMar>
              <w:top w:w="20" w:type="dxa"/>
              <w:start w:w="0" w:type="dxa"/>
              <w:bottom w:w="20" w:type="dxa"/>
              <w:end w:w="0" w:type="dxa"/>
            </w:tcMar>
            <w:vAlign w:val="center"/>
          </w:tcPr>
          <w:p>
            <w:r>
              <w:rPr>
                <w:rFonts w:ascii="Microsoft YaHei" w:hAnsi="Microsoft YaHei" w:eastAsia="Microsoft YaHei"/>
                <w:b/>
                <w:color w:val="111827"/>
                <w:sz w:val="20"/>
              </w:rPr>
              <w:t>英国东英吉利大学 University of East Anglia</w:t>
            </w:r>
            <w:r>
              <w:rPr>
                <w:rFonts w:ascii="Microsoft YaHei" w:hAnsi="Microsoft YaHei" w:eastAsia="Microsoft YaHei"/>
                <w:b/>
                <w:color w:val="2457D6"/>
                <w:sz w:val="18"/>
              </w:rPr>
              <w:t xml:space="preserve">  会计与金融 荣誉理学学士</w:t>
            </w:r>
          </w:p>
        </w:tc>
        <w:tc>
          <w:tcPr>
            <w:tcW w:type="dxa" w:w="5119"/>
            <w:tcMar>
              <w:top w:w="20" w:type="dxa"/>
              <w:start w:w="0" w:type="dxa"/>
              <w:bottom w:w="20" w:type="dxa"/>
              <w:end w:w="0" w:type="dxa"/>
            </w:tcMar>
            <w:vAlign w:val="center"/>
          </w:tcPr>
          <w:p>
            <w:pPr>
              <w:jc w:val="right"/>
            </w:pPr>
            <w:r>
              <w:rPr>
                <w:rFonts w:ascii="Microsoft YaHei" w:hAnsi="Microsoft YaHei" w:eastAsia="Microsoft YaHei"/>
                <w:b/>
                <w:color w:val="4B5563"/>
                <w:sz w:val="17"/>
              </w:rPr>
              <w:t>2004.09 - 2007.06</w:t>
            </w:r>
          </w:p>
        </w:tc>
      </w:tr>
    </w:tbl>
    <w:p>
      <w:pPr>
        <w:pStyle w:val="Heading1"/>
        <w:keepNext/>
        <w:spacing w:before="140" w:after="80"/>
      </w:pPr>
      <w:r>
        <w:rPr>
          <w:rFonts w:ascii="Microsoft YaHei" w:hAnsi="Microsoft YaHei" w:eastAsia="Microsoft YaHei"/>
          <w:b/>
          <w:color w:val="111827"/>
          <w:sz w:val="23"/>
        </w:rPr>
        <w:t>证书与荣誉</w:t>
      </w:r>
    </w:p>
    <w:p>
      <w:pPr>
        <w:pStyle w:val="ListBullet"/>
        <w:spacing w:after="50"/>
        <w:ind w:left="259" w:hanging="187"/>
      </w:pPr>
      <w:r>
        <w:rPr>
          <w:rFonts w:ascii="Microsoft YaHei" w:hAnsi="Microsoft YaHei" w:eastAsia="Microsoft YaHei"/>
          <w:b w:val="0"/>
          <w:color w:val="111827"/>
          <w:sz w:val="17"/>
        </w:rPr>
        <w:t>厦门市留学人员身份认定，厦门市留学人员服务中心，2025</w:t>
      </w:r>
    </w:p>
    <w:p>
      <w:pPr>
        <w:pStyle w:val="ListBullet"/>
        <w:spacing w:after="50"/>
        <w:ind w:left="259" w:hanging="187"/>
      </w:pPr>
      <w:r>
        <w:rPr>
          <w:rFonts w:ascii="Microsoft YaHei" w:hAnsi="Microsoft YaHei" w:eastAsia="Microsoft YaHei"/>
          <w:b w:val="0"/>
          <w:color w:val="111827"/>
          <w:sz w:val="17"/>
        </w:rPr>
        <w:t>数据分析师培训合格证明，2024（项目制数据分析培训与考核）</w:t>
      </w:r>
    </w:p>
    <w:p>
      <w:pPr>
        <w:pStyle w:val="ListBullet"/>
        <w:spacing w:after="50"/>
        <w:ind w:left="259" w:hanging="187"/>
      </w:pPr>
      <w:r>
        <w:rPr>
          <w:rFonts w:ascii="Microsoft YaHei" w:hAnsi="Microsoft YaHei" w:eastAsia="Microsoft YaHei"/>
          <w:b w:val="0"/>
          <w:color w:val="111827"/>
          <w:sz w:val="17"/>
        </w:rPr>
        <w:t>跨境电子商务师专业技能证书，工业和信息化部，2022</w:t>
      </w:r>
    </w:p>
    <w:p>
      <w:pPr>
        <w:pStyle w:val="ListBullet"/>
        <w:spacing w:after="50"/>
        <w:ind w:left="259" w:hanging="187"/>
      </w:pPr>
      <w:r>
        <w:rPr>
          <w:rFonts w:ascii="Microsoft YaHei" w:hAnsi="Microsoft YaHei" w:eastAsia="Microsoft YaHei"/>
          <w:b w:val="0"/>
          <w:color w:val="111827"/>
          <w:sz w:val="17"/>
        </w:rPr>
        <w:t>ACCA Fundamentals Level，2011；Sage Line 50，London School of Business and Finance，2012</w:t>
      </w:r>
    </w:p>
    <w:p>
      <w:pPr>
        <w:pStyle w:val="ListBullet"/>
        <w:spacing w:after="50"/>
        <w:ind w:left="259" w:hanging="187"/>
      </w:pPr>
      <w:r>
        <w:rPr>
          <w:rFonts w:ascii="Microsoft YaHei" w:hAnsi="Microsoft YaHei" w:eastAsia="Microsoft YaHei"/>
          <w:b w:val="0"/>
          <w:color w:val="111827"/>
          <w:sz w:val="17"/>
        </w:rPr>
        <w:t>连续两年入围厦门“白鹭之星”创新创业大赛复赛；508个项目第24名，2026</w:t>
      </w:r>
    </w:p>
    <w:p>
      <w:pPr>
        <w:pStyle w:val="ListBullet"/>
        <w:spacing w:after="50"/>
        <w:ind w:left="259" w:hanging="187"/>
      </w:pPr>
      <w:r>
        <w:rPr>
          <w:rFonts w:ascii="Microsoft YaHei" w:hAnsi="Microsoft YaHei" w:eastAsia="Microsoft YaHei"/>
          <w:b w:val="0"/>
          <w:color w:val="111827"/>
          <w:sz w:val="17"/>
        </w:rPr>
        <w:t>辅导贵州大学团队获第十六届三创赛贵州省选拔赛跨境电商实战赛省级二等奖，2026</w:t>
      </w:r>
    </w:p>
    <w:p>
      <w:pPr>
        <w:pStyle w:val="ListBullet"/>
        <w:spacing w:after="50"/>
        <w:ind w:left="259" w:hanging="187"/>
      </w:pPr>
      <w:r>
        <w:rPr>
          <w:rFonts w:ascii="Microsoft YaHei" w:hAnsi="Microsoft YaHei" w:eastAsia="Microsoft YaHei"/>
          <w:b w:val="0"/>
          <w:color w:val="111827"/>
          <w:sz w:val="17"/>
        </w:rPr>
        <w:t>“中国银行杯”英华学生学者伦敦马拉松男子组二等奖，2005</w:t>
      </w:r>
    </w:p>
    <w:p>
      <w:pPr>
        <w:pStyle w:val="Heading1"/>
        <w:keepNext/>
        <w:spacing w:before="140" w:after="80"/>
      </w:pPr>
      <w:r>
        <w:rPr>
          <w:rFonts w:ascii="Microsoft YaHei" w:hAnsi="Microsoft YaHei" w:eastAsia="Microsoft YaHei"/>
          <w:b/>
          <w:color w:val="111827"/>
          <w:sz w:val="23"/>
        </w:rPr>
        <w:t>行业影响力</w:t>
      </w:r>
    </w:p>
    <w:p>
      <w:pPr>
        <w:pStyle w:val="ListBullet"/>
        <w:spacing w:after="50"/>
        <w:ind w:left="259" w:hanging="187"/>
      </w:pPr>
      <w:r>
        <w:rPr>
          <w:rFonts w:ascii="Microsoft YaHei" w:hAnsi="Microsoft YaHei" w:eastAsia="Microsoft YaHei"/>
          <w:b w:val="0"/>
          <w:color w:val="111827"/>
          <w:sz w:val="17"/>
        </w:rPr>
        <w:t>长期参与中国贸促会、中国跨境电商交易会、地方政府与商务部门、高校和行业平台合作；曾在全国跨境电商产教融合峰会分享行业趋势与人才需求。</w:t>
      </w:r>
    </w:p>
    <w:p>
      <w:pPr>
        <w:pStyle w:val="ListBullet"/>
        <w:spacing w:after="50"/>
        <w:ind w:left="259" w:hanging="187"/>
      </w:pPr>
      <w:r>
        <w:rPr>
          <w:rFonts w:ascii="Microsoft YaHei" w:hAnsi="Microsoft YaHei" w:eastAsia="Microsoft YaHei"/>
          <w:b w:val="0"/>
          <w:color w:val="111827"/>
          <w:sz w:val="17"/>
        </w:rPr>
        <w:t>参加2026中国（厦门）专精特新企业产融互联对接会暨企业出海交流会，持续链接专精特新企业、产业资本与企业出海服务资源。</w:t>
      </w:r>
    </w:p>
    <w:p>
      <w:pPr>
        <w:pStyle w:val="ListBullet"/>
        <w:spacing w:after="50"/>
        <w:ind w:left="259" w:hanging="187"/>
      </w:pPr>
      <w:r>
        <w:rPr>
          <w:rFonts w:ascii="Microsoft YaHei" w:hAnsi="Microsoft YaHei" w:eastAsia="Microsoft YaHei"/>
          <w:b w:val="0"/>
          <w:color w:val="111827"/>
          <w:sz w:val="17"/>
        </w:rPr>
        <w:t>拥有英国创业经营、中国跨境服务、菲律宾金融项目与多国合作背景，能够在市场、技术、资本与组织之间完成跨文化协同。</w:t>
      </w:r>
    </w:p>
    <w:p>
      <w:pPr>
        <w:pStyle w:val="Heading1"/>
        <w:keepNext/>
        <w:spacing w:before="140" w:after="80"/>
      </w:pPr>
      <w:r>
        <w:rPr>
          <w:rFonts w:ascii="Microsoft YaHei" w:hAnsi="Microsoft YaHei" w:eastAsia="Microsoft YaHei"/>
          <w:b/>
          <w:color w:val="111827"/>
          <w:sz w:val="23"/>
        </w:rPr>
        <w:t>部分公开报道与行业记录</w:t>
      </w:r>
    </w:p>
    <w:p>
      <w:pPr>
        <w:pStyle w:val="ListBullet"/>
        <w:spacing w:after="40"/>
        <w:ind w:left="259" w:hanging="187"/>
      </w:pPr>
      <w:hyperlink r:id="rId10">
        <w:r>
          <w:rPr>
            <w:color w:val="2457D6"/>
            <w:u w:val="single"/>
            <w:rFonts w:ascii="Microsoft YaHei" w:hAnsi="Microsoft YaHei" w:eastAsia="Microsoft YaHei"/>
            <w:sz w:val="16"/>
          </w:rPr>
          <w:t>全国高校“双师型”跨境电商产教融合峰会：洪斌受邀分享</w:t>
        </w:r>
      </w:hyperlink>
    </w:p>
    <w:p>
      <w:pPr>
        <w:pStyle w:val="ListBullet"/>
        <w:spacing w:after="40"/>
        <w:ind w:left="259" w:hanging="187"/>
      </w:pPr>
      <w:hyperlink r:id="rId11">
        <w:r>
          <w:rPr>
            <w:color w:val="2457D6"/>
            <w:u w:val="single"/>
            <w:rFonts w:ascii="Microsoft YaHei" w:hAnsi="Microsoft YaHei" w:eastAsia="Microsoft YaHei"/>
            <w:sz w:val="16"/>
          </w:rPr>
          <w:t>雨果跨境CEO到访：副总洪斌参与战略合作交流</w:t>
        </w:r>
      </w:hyperlink>
    </w:p>
    <w:p>
      <w:pPr>
        <w:pStyle w:val="ListBullet"/>
        <w:spacing w:after="40"/>
        <w:ind w:left="259" w:hanging="187"/>
      </w:pPr>
      <w:hyperlink r:id="rId12">
        <w:r>
          <w:rPr>
            <w:color w:val="2457D6"/>
            <w:u w:val="single"/>
            <w:rFonts w:ascii="Microsoft YaHei" w:hAnsi="Microsoft YaHei" w:eastAsia="Microsoft YaHei"/>
            <w:sz w:val="16"/>
          </w:rPr>
          <w:t>中国贸促会商业行业委员会到访：洪斌代表NIUKE介绍业务</w:t>
        </w:r>
      </w:hyperlink>
    </w:p>
    <w:p>
      <w:pPr>
        <w:pStyle w:val="ListBullet"/>
        <w:spacing w:after="40"/>
        <w:ind w:left="259" w:hanging="187"/>
      </w:pPr>
      <w:hyperlink r:id="rId13">
        <w:r>
          <w:rPr>
            <w:color w:val="2457D6"/>
            <w:u w:val="single"/>
            <w:rFonts w:ascii="Microsoft YaHei" w:hAnsi="Microsoft YaHei" w:eastAsia="Microsoft YaHei"/>
            <w:sz w:val="16"/>
          </w:rPr>
          <w:t>2021 中国跨境电商出海服务商 TOP30</w:t>
        </w:r>
      </w:hyperlink>
    </w:p>
    <w:p>
      <w:pPr>
        <w:pStyle w:val="ListBullet"/>
        <w:spacing w:after="40"/>
        <w:ind w:left="259" w:hanging="187"/>
      </w:pPr>
      <w:hyperlink r:id="rId14">
        <w:r>
          <w:rPr>
            <w:color w:val="2457D6"/>
            <w:u w:val="single"/>
            <w:rFonts w:ascii="Microsoft YaHei" w:hAnsi="Microsoft YaHei" w:eastAsia="Microsoft YaHei"/>
            <w:sz w:val="16"/>
          </w:rPr>
          <w:t>2022优秀服务商奖</w:t>
        </w:r>
      </w:hyperlink>
    </w:p>
    <w:p>
      <w:pPr>
        <w:pStyle w:val="ListBullet"/>
        <w:spacing w:after="40"/>
        <w:ind w:left="259" w:hanging="187"/>
      </w:pPr>
      <w:hyperlink r:id="rId15">
        <w:r>
          <w:rPr>
            <w:color w:val="2457D6"/>
            <w:u w:val="single"/>
            <w:rFonts w:ascii="Microsoft YaHei" w:hAnsi="Microsoft YaHei" w:eastAsia="Microsoft YaHei"/>
            <w:sz w:val="16"/>
          </w:rPr>
          <w:t>中国贸促会交流记录</w:t>
        </w:r>
      </w:hyperlink>
    </w:p>
    <w:p>
      <w:pPr>
        <w:pStyle w:val="ListBullet"/>
        <w:spacing w:after="40"/>
        <w:ind w:left="259" w:hanging="187"/>
      </w:pPr>
      <w:hyperlink r:id="rId16">
        <w:r>
          <w:rPr>
            <w:color w:val="2457D6"/>
            <w:u w:val="single"/>
            <w:rFonts w:ascii="Microsoft YaHei" w:hAnsi="Microsoft YaHei" w:eastAsia="Microsoft YaHei"/>
            <w:sz w:val="16"/>
          </w:rPr>
          <w:t>中国跨境电商交易会相关报道</w:t>
        </w:r>
      </w:hyperlink>
    </w:p>
    <w:p>
      <w:pPr>
        <w:pStyle w:val="ListBullet"/>
        <w:spacing w:after="40"/>
        <w:ind w:left="259" w:hanging="187"/>
      </w:pPr>
      <w:hyperlink r:id="rId17">
        <w:r>
          <w:rPr>
            <w:color w:val="2457D6"/>
            <w:u w:val="single"/>
            <w:rFonts w:ascii="Microsoft YaHei" w:hAnsi="Microsoft YaHei" w:eastAsia="Microsoft YaHei"/>
            <w:sz w:val="16"/>
          </w:rPr>
          <w:t>高校合作与人才培养</w:t>
        </w:r>
      </w:hyperlink>
    </w:p>
    <w:p>
      <w:pPr>
        <w:pStyle w:val="ListBullet"/>
        <w:spacing w:after="40"/>
        <w:ind w:left="259" w:hanging="187"/>
      </w:pPr>
      <w:hyperlink r:id="rId18">
        <w:r>
          <w:rPr>
            <w:color w:val="2457D6"/>
            <w:u w:val="single"/>
            <w:rFonts w:ascii="Microsoft YaHei" w:hAnsi="Microsoft YaHei" w:eastAsia="Microsoft YaHei"/>
            <w:sz w:val="16"/>
          </w:rPr>
          <w:t>全国高校创业大赛</w:t>
        </w:r>
      </w:hyperlink>
    </w:p>
    <w:p>
      <w:pPr>
        <w:pStyle w:val="ListBullet"/>
        <w:spacing w:after="40"/>
        <w:ind w:left="259" w:hanging="187"/>
      </w:pPr>
      <w:hyperlink r:id="rId19">
        <w:r>
          <w:rPr>
            <w:color w:val="2457D6"/>
            <w:u w:val="single"/>
            <w:rFonts w:ascii="Microsoft YaHei" w:hAnsi="Microsoft YaHei" w:eastAsia="Microsoft YaHei"/>
            <w:sz w:val="16"/>
          </w:rPr>
          <w:t>跨境电商产教融合演讲</w:t>
        </w:r>
      </w:hyperlink>
    </w:p>
    <w:p>
      <w:pPr>
        <w:pStyle w:val="ListBullet"/>
        <w:spacing w:after="40"/>
        <w:ind w:left="259" w:hanging="187"/>
      </w:pPr>
      <w:hyperlink r:id="rId20">
        <w:r>
          <w:rPr>
            <w:color w:val="2457D6"/>
            <w:u w:val="single"/>
            <w:rFonts w:ascii="Microsoft YaHei" w:hAnsi="Microsoft YaHei" w:eastAsia="Microsoft YaHei"/>
            <w:sz w:val="16"/>
          </w:rPr>
          <w:t>贵州大学团队获三创赛贵州省选拔赛跨境电商实战赛省级二等奖</w:t>
        </w:r>
      </w:hyperlink>
    </w:p>
    <w:p>
      <w:pPr>
        <w:pStyle w:val="ListBullet"/>
        <w:spacing w:after="40"/>
        <w:ind w:left="259" w:hanging="187"/>
      </w:pPr>
      <w:hyperlink r:id="rId21">
        <w:r>
          <w:rPr>
            <w:color w:val="2457D6"/>
            <w:u w:val="single"/>
            <w:rFonts w:ascii="Microsoft YaHei" w:hAnsi="Microsoft YaHei" w:eastAsia="Microsoft YaHei"/>
            <w:sz w:val="16"/>
          </w:rPr>
          <w:t>连续两年入围厦门白鹭之星复赛，2026年排名第24</w:t>
        </w:r>
      </w:hyperlink>
    </w:p>
    <w:p>
      <w:pPr>
        <w:pStyle w:val="ListBullet"/>
        <w:spacing w:after="40"/>
        <w:ind w:left="259" w:hanging="187"/>
      </w:pPr>
      <w:hyperlink r:id="rId22">
        <w:r>
          <w:rPr>
            <w:color w:val="2457D6"/>
            <w:u w:val="single"/>
            <w:rFonts w:ascii="Microsoft YaHei" w:hAnsi="Microsoft YaHei" w:eastAsia="Microsoft YaHei"/>
            <w:sz w:val="16"/>
          </w:rPr>
          <w:t>宜日达跨境物流项目</w:t>
        </w:r>
      </w:hyperlink>
    </w:p>
    <w:sectPr w:rsidR="00FC693F" w:rsidRPr="0006063C" w:rsidSect="00034616">
      <w:footerReference w:type="default" r:id="rId23"/>
      <w:pgSz w:w="11909" w:h="16834"/>
      <w:pgMar w:top="648" w:right="835" w:bottom="648"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b w:val="0"/>
        <w:color w:val="4B5563"/>
        <w:sz w:val="15"/>
      </w:rPr>
      <w:t>洪斌  Executive Resume  |  Confidential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52" w:lineRule="auto"/>
    </w:pPr>
    <w:rPr>
      <w:rFonts w:ascii="Microsoft YaHei" w:hAnsi="Microsoft YaHe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zhuanlan.zhihu.com/p/543956037" TargetMode="External"/><Relationship Id="rId11" Type="http://schemas.openxmlformats.org/officeDocument/2006/relationships/hyperlink" Target="https://www.sohu.com/a/580830565_121415502" TargetMode="External"/><Relationship Id="rId12" Type="http://schemas.openxmlformats.org/officeDocument/2006/relationships/hyperlink" Target="https://www.sohu.com/a/593603943_121415502" TargetMode="External"/><Relationship Id="rId13" Type="http://schemas.openxmlformats.org/officeDocument/2006/relationships/hyperlink" Target="https://news.pedaily.cn/20220614/36219.shtml" TargetMode="External"/><Relationship Id="rId14" Type="http://schemas.openxmlformats.org/officeDocument/2006/relationships/hyperlink" Target="https://www.sohu.com/a/604756741_121412618" TargetMode="External"/><Relationship Id="rId15" Type="http://schemas.openxmlformats.org/officeDocument/2006/relationships/hyperlink" Target="https://baijiahao.baidu.com/s?id=1746991709829507977&amp;wfr=spider&amp;for=pc" TargetMode="External"/><Relationship Id="rId16" Type="http://schemas.openxmlformats.org/officeDocument/2006/relationships/hyperlink" Target="https://zhuanlan.zhihu.com/p/462396430" TargetMode="External"/><Relationship Id="rId17" Type="http://schemas.openxmlformats.org/officeDocument/2006/relationships/hyperlink" Target="https://www.sohu.com/a/569599714_121412618" TargetMode="External"/><Relationship Id="rId18" Type="http://schemas.openxmlformats.org/officeDocument/2006/relationships/hyperlink" Target="https://www.bilibili.com/read/cv14877282/" TargetMode="External"/><Relationship Id="rId19" Type="http://schemas.openxmlformats.org/officeDocument/2006/relationships/hyperlink" Target="https://news.sohu.com/a/569575795_121412618" TargetMode="External"/><Relationship Id="rId20" Type="http://schemas.openxmlformats.org/officeDocument/2006/relationships/hyperlink" Target="https://kingsley.richu-kjsy.com/#media" TargetMode="External"/><Relationship Id="rId21" Type="http://schemas.openxmlformats.org/officeDocument/2006/relationships/hyperlink" Target="https://mp.weixin.qq.com/s/OrdVhM2lxIK2UDvkVXYPVw" TargetMode="External"/><Relationship Id="rId22" Type="http://schemas.openxmlformats.org/officeDocument/2006/relationships/hyperlink" Target="https://www.bilibili.com/video/BV19g411r7Fa/"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